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49.2485549132948"/>
        <w:gridCol w:w="825.0867052023123"/>
        <w:gridCol w:w="1771.907514450867"/>
        <w:gridCol w:w="865.6647398843929"/>
        <w:gridCol w:w="1014.4508670520231"/>
        <w:gridCol w:w="1812.4855491329479"/>
        <w:gridCol w:w="1771.907514450867"/>
        <w:gridCol w:w="649.2485549132948"/>
        <w:tblGridChange w:id="0">
          <w:tblGrid>
            <w:gridCol w:w="649.2485549132948"/>
            <w:gridCol w:w="825.0867052023123"/>
            <w:gridCol w:w="1771.907514450867"/>
            <w:gridCol w:w="865.6647398843929"/>
            <w:gridCol w:w="1014.4508670520231"/>
            <w:gridCol w:w="1812.4855491329479"/>
            <w:gridCol w:w="1771.907514450867"/>
            <w:gridCol w:w="649.2485549132948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52"/>
                <w:szCs w:val="52"/>
                <w:rtl w:val="0"/>
              </w:rPr>
              <w:t xml:space="preserve">FATTURA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Numero fattura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INV11122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Data fattura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 gennaio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Data di scadenza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30 gennaio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Da: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Fatturare 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Ragione sociale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Indirizzo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Ragione sociale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Città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Indirizzo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CAP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Città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CAP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Qtà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Prezzo unitario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Importo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Articolo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Articolo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€500.00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€1,000.00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Subtotale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€1,200.00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€0.00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Informazioni di pagamento: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€1,200.00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