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05"/>
        <w:gridCol w:w="900"/>
        <w:gridCol w:w="1935"/>
        <w:gridCol w:w="405"/>
        <w:gridCol w:w="1050"/>
        <w:gridCol w:w="1800"/>
        <w:gridCol w:w="1845"/>
        <w:gridCol w:w="705"/>
        <w:tblGridChange w:id="0">
          <w:tblGrid>
            <w:gridCol w:w="705"/>
            <w:gridCol w:w="900"/>
            <w:gridCol w:w="1935"/>
            <w:gridCol w:w="405"/>
            <w:gridCol w:w="1050"/>
            <w:gridCol w:w="1800"/>
            <w:gridCol w:w="1845"/>
            <w:gridCol w:w="705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52"/>
                <w:szCs w:val="52"/>
                <w:rtl w:val="0"/>
              </w:rPr>
              <w:t xml:space="preserve">RECHNUNG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Rechnungsnr.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INV11122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Rechnungsdatum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1. Januar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Fälligkeitsdatum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30. Januar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Von: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Rechnung an: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Firmenname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Strasse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Firmenname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Strasse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PLZ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PLZ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Beschreibung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Menge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Stückpreis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Betrag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Artikel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CHF 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CHF 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Artikel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CHF 500.00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CHF 1,000.00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CHF 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CHF 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Notizen: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Zwischensumme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CHF 1,200.00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MwSt.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CHF 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Zahlungsinfo: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Gesamtbetrag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CHF 1,200.00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